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ED3" w:rsidRPr="00005571" w:rsidRDefault="007E7129" w:rsidP="0056219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A74ED3"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562192" w:rsidRPr="00005571" w:rsidRDefault="00562192" w:rsidP="00562192">
      <w:pPr>
        <w:bidi/>
        <w:jc w:val="both"/>
        <w:rPr>
          <w:rFonts w:ascii="IRBadr" w:hAnsi="IRBadr" w:cs="IRBadr"/>
          <w:noProof/>
        </w:rPr>
      </w:pP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005571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005571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005571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562192" w:rsidRPr="00005571" w:rsidRDefault="00406CCB" w:rsidP="0056219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18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سب النبی (ص)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_Toc427448718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2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19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منابع بحث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_Toc427448719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2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0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نظریه امام در این موضوع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_Toc427448720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2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1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استثنائیت سب النبی (ص)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_Toc427448721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3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2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استثناء دوم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_Toc427448722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3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3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جمع‌بندی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_Toc427448723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4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4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رابطه سب و ارتداد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_Toc427448724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4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5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_Toc427448725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4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6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روایت اول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_Toc427448726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5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7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روایت دوم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_Toc427448727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5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8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_Toc427448728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5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29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روایت سوم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_Toc427448729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6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30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_Toc427448730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7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406CCB" w:rsidP="0056219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731" w:history="1">
        <w:r w:rsidR="00562192" w:rsidRPr="00005571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562192" w:rsidRPr="00005571">
          <w:rPr>
            <w:rFonts w:ascii="IRBadr" w:hAnsi="IRBadr" w:cs="IRBadr"/>
            <w:noProof/>
            <w:webHidden/>
          </w:rPr>
          <w:tab/>
        </w:r>
        <w:r w:rsidR="00562192" w:rsidRPr="00005571">
          <w:rPr>
            <w:rFonts w:ascii="IRBadr" w:hAnsi="IRBadr" w:cs="IRBadr"/>
            <w:noProof/>
            <w:webHidden/>
          </w:rPr>
          <w:fldChar w:fldCharType="begin"/>
        </w:r>
        <w:r w:rsidR="00562192" w:rsidRPr="00005571">
          <w:rPr>
            <w:rFonts w:ascii="IRBadr" w:hAnsi="IRBadr" w:cs="IRBadr"/>
            <w:noProof/>
            <w:webHidden/>
          </w:rPr>
          <w:instrText xml:space="preserve"> PAGEREF _Toc427448731 \h </w:instrText>
        </w:r>
        <w:r w:rsidR="00562192" w:rsidRPr="00005571">
          <w:rPr>
            <w:rFonts w:ascii="IRBadr" w:hAnsi="IRBadr" w:cs="IRBadr"/>
            <w:noProof/>
            <w:webHidden/>
          </w:rPr>
        </w:r>
        <w:r w:rsidR="00562192" w:rsidRPr="00005571">
          <w:rPr>
            <w:rFonts w:ascii="IRBadr" w:hAnsi="IRBadr" w:cs="IRBadr"/>
            <w:noProof/>
            <w:webHidden/>
          </w:rPr>
          <w:fldChar w:fldCharType="separate"/>
        </w:r>
        <w:r w:rsidR="00562192" w:rsidRPr="00005571">
          <w:rPr>
            <w:rFonts w:ascii="IRBadr" w:hAnsi="IRBadr" w:cs="IRBadr"/>
            <w:noProof/>
            <w:webHidden/>
          </w:rPr>
          <w:t>7</w:t>
        </w:r>
        <w:r w:rsidR="00562192" w:rsidRPr="00005571">
          <w:rPr>
            <w:rFonts w:ascii="IRBadr" w:hAnsi="IRBadr" w:cs="IRBadr"/>
            <w:noProof/>
            <w:webHidden/>
          </w:rPr>
          <w:fldChar w:fldCharType="end"/>
        </w:r>
      </w:hyperlink>
    </w:p>
    <w:p w:rsidR="00562192" w:rsidRPr="00005571" w:rsidRDefault="00562192" w:rsidP="0056219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005571" w:rsidRDefault="00005571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448718"/>
      <w:r>
        <w:rPr>
          <w:rFonts w:ascii="IRBadr" w:hAnsi="IRBadr" w:cs="IRBadr"/>
          <w:rtl/>
        </w:rPr>
        <w:br w:type="page"/>
      </w:r>
    </w:p>
    <w:p w:rsidR="00AC3ACE" w:rsidRPr="00005571" w:rsidRDefault="00AC3ACE" w:rsidP="00562192">
      <w:pPr>
        <w:pStyle w:val="Heading1"/>
        <w:rPr>
          <w:rFonts w:ascii="IRBadr" w:hAnsi="IRBadr" w:cs="IRBadr"/>
          <w:rtl/>
        </w:rPr>
      </w:pPr>
      <w:r w:rsidRPr="00005571">
        <w:rPr>
          <w:rFonts w:ascii="IRBadr" w:hAnsi="IRBadr" w:cs="IRBadr"/>
          <w:rtl/>
        </w:rPr>
        <w:lastRenderedPageBreak/>
        <w:t xml:space="preserve">سب </w:t>
      </w:r>
      <w:r w:rsidR="00B35484" w:rsidRPr="00005571">
        <w:rPr>
          <w:rFonts w:ascii="IRBadr" w:hAnsi="IRBadr" w:cs="IRBadr"/>
          <w:rtl/>
        </w:rPr>
        <w:t>النبی (</w:t>
      </w:r>
      <w:r w:rsidRPr="00005571">
        <w:rPr>
          <w:rFonts w:ascii="IRBadr" w:hAnsi="IRBadr" w:cs="IRBadr"/>
          <w:rtl/>
        </w:rPr>
        <w:t>ص)</w:t>
      </w:r>
      <w:bookmarkEnd w:id="0"/>
    </w:p>
    <w:p w:rsidR="00AC3ACE" w:rsidRPr="00005571" w:rsidRDefault="00AC3ACE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حکمی که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تتمه 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در اینجا مطرح نمود،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است که حکم سب نمودن پیامبری از پیامبران خدا و معصومین (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علیهم‌السلام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) چیست؟</w:t>
      </w:r>
    </w:p>
    <w:p w:rsidR="00AC3ACE" w:rsidRPr="00005571" w:rsidRDefault="00AC3ACE" w:rsidP="00562192">
      <w:pPr>
        <w:pStyle w:val="Heading1"/>
        <w:rPr>
          <w:rFonts w:ascii="IRBadr" w:hAnsi="IRBadr" w:cs="IRBadr"/>
          <w:rtl/>
        </w:rPr>
      </w:pPr>
      <w:bookmarkStart w:id="1" w:name="_Toc427448719"/>
      <w:r w:rsidRPr="00005571">
        <w:rPr>
          <w:rFonts w:ascii="IRBadr" w:hAnsi="IRBadr" w:cs="IRBadr"/>
          <w:rtl/>
        </w:rPr>
        <w:t>منابع بحث</w:t>
      </w:r>
      <w:bookmarkEnd w:id="1"/>
    </w:p>
    <w:p w:rsidR="00AC3ACE" w:rsidRPr="00005571" w:rsidRDefault="00AC3ACE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>لکن قبل از پردازش به بحث لازم است،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مروری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کوتاه در قبال منابع بحث صورت بگیرد؛</w:t>
      </w:r>
    </w:p>
    <w:p w:rsidR="00C802E8" w:rsidRPr="00005571" w:rsidRDefault="00A74ED3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ریاض، جلد سیزده، صفحه پانصد و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سی‌وهفت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جواهر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جلد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چهل‌ویک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 حدود، صفحه چهارصد و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سی‌ودو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مبانی تکمله آقای خویی،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 جلد یک صفحه دویست و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شصت‌وچهار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در المنظور مرحوم آقای گلپایگانی، 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جلد دوم صفحه دویست و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چهل‌ودو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اسس الحدود و التعزیرات آقای تبریزی حفظه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 الله، صفحه دویست و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پنجاه‌وهفت</w:t>
      </w:r>
      <w:r w:rsidR="00AC3ACE" w:rsidRPr="00005571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="00C802E8" w:rsidRPr="00005571">
        <w:rPr>
          <w:rFonts w:ascii="IRBadr" w:hAnsi="IRBadr" w:cs="IRBadr"/>
          <w:sz w:val="28"/>
          <w:szCs w:val="28"/>
          <w:rtl/>
          <w:lang w:bidi="fa-IR"/>
        </w:rPr>
        <w:t xml:space="preserve"> تفصیل الشریعه آقای فاضل صفحه چهارصد و سه ـ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مبانی تحریر آقای مؤمن</w:t>
      </w:r>
      <w:r w:rsidR="00C802E8"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صفحه چهارصد و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نودوسه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802E8" w:rsidRPr="00005571" w:rsidRDefault="00C802E8" w:rsidP="00562192">
      <w:pPr>
        <w:pStyle w:val="Heading1"/>
        <w:rPr>
          <w:rFonts w:ascii="IRBadr" w:hAnsi="IRBadr" w:cs="IRBadr"/>
          <w:rtl/>
        </w:rPr>
      </w:pPr>
      <w:bookmarkStart w:id="2" w:name="_Toc427448720"/>
      <w:r w:rsidRPr="00005571">
        <w:rPr>
          <w:rFonts w:ascii="IRBadr" w:hAnsi="IRBadr" w:cs="IRBadr"/>
          <w:rtl/>
        </w:rPr>
        <w:t>نظریه امام در این موضوع</w:t>
      </w:r>
      <w:bookmarkEnd w:id="2"/>
    </w:p>
    <w:p w:rsidR="00C802E8" w:rsidRPr="00005571" w:rsidRDefault="00C802E8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>متنی که حضرت امام در تحریر دارند،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بدین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شکل است که؛</w:t>
      </w:r>
    </w:p>
    <w:p w:rsidR="00192BE2" w:rsidRPr="00005571" w:rsidRDefault="00192BE2" w:rsidP="0056219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</w:rPr>
      </w:pPr>
      <w:r w:rsidRPr="00005571">
        <w:rPr>
          <w:rFonts w:ascii="IRBadr" w:eastAsiaTheme="minorHAnsi" w:hAnsi="IRBadr" w:cs="IRBadr"/>
          <w:b/>
          <w:bCs/>
          <w:color w:val="000000" w:themeColor="text1"/>
          <w:sz w:val="28"/>
          <w:szCs w:val="28"/>
          <w:rtl/>
        </w:rPr>
        <w:t>«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الأول- من سب النب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صلّ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اللّه عل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 و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آله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 الع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اذ باللّه وجب عل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سامعه قتله ما لم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خف عل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نفسه أو عرضه أو نفس مؤمن أو عرضه، و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معه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لا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جوز، و لو خاف عل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ماله المعتد به أو مال أخ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جاز تر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قتله،.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لا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توقف ذل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إذن من الامام عل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 السلام أو نائبه، و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ذا الحال لو سب بعض الأئمة عل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هم السلام، و ف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إلحاق الصد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قة الطاهرة سلام اللّه عل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ها بهم وجه، بل لو رجع إل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سب النب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(ص)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قتل بلا إش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ال.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00557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C802E8" w:rsidRPr="00005571" w:rsidRDefault="00C802E8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در حقیقت حکم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خوف بر جان یا حیثیت و آبروی خود داشته باشد آنجا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قتل جایز نیست،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اما اگر خوف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نسبت به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اموال خودش داشته باشد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در اینجا جایز است او را بکشد.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باید توجه داشت که اگر او نتواند در نزد حاکم این امر را اثبات نماید،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قصاص بشود.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جواز قتل در صورتی است که اطمینان از جانب او وجود داشته باشد و خطری نیز او را تهدید نکند.</w:t>
      </w:r>
    </w:p>
    <w:p w:rsidR="00C802E8" w:rsidRPr="00005571" w:rsidRDefault="00C802E8" w:rsidP="00562192">
      <w:pPr>
        <w:pStyle w:val="Heading1"/>
        <w:rPr>
          <w:rFonts w:ascii="IRBadr" w:hAnsi="IRBadr" w:cs="IRBadr"/>
          <w:rtl/>
        </w:rPr>
      </w:pPr>
      <w:bookmarkStart w:id="3" w:name="_Toc427448721"/>
      <w:r w:rsidRPr="00005571">
        <w:rPr>
          <w:rFonts w:ascii="IRBadr" w:hAnsi="IRBadr" w:cs="IRBadr"/>
          <w:rtl/>
        </w:rPr>
        <w:lastRenderedPageBreak/>
        <w:t xml:space="preserve">استثنائیت سب </w:t>
      </w:r>
      <w:r w:rsidR="00B35484" w:rsidRPr="00005571">
        <w:rPr>
          <w:rFonts w:ascii="IRBadr" w:hAnsi="IRBadr" w:cs="IRBadr"/>
          <w:rtl/>
        </w:rPr>
        <w:t>النبی (</w:t>
      </w:r>
      <w:r w:rsidRPr="00005571">
        <w:rPr>
          <w:rFonts w:ascii="IRBadr" w:hAnsi="IRBadr" w:cs="IRBadr"/>
          <w:rtl/>
        </w:rPr>
        <w:t>ص)</w:t>
      </w:r>
      <w:bookmarkEnd w:id="3"/>
    </w:p>
    <w:p w:rsidR="00C802E8" w:rsidRPr="00005571" w:rsidRDefault="00C802E8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>اگر مباحث گذشته اندکی مرور شود،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درگذشته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گفته شد که؛ مطلق سب و توهین به دیگران منجر به ثبوت تعزیر 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در اینجا حکم به قتل داده 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لذا حکم در اینجا بسیار فراتر و مستثنی از سابق بیان گشته است.</w:t>
      </w:r>
    </w:p>
    <w:p w:rsidR="00C802E8" w:rsidRPr="00005571" w:rsidRDefault="00C802E8" w:rsidP="00562192">
      <w:pPr>
        <w:pStyle w:val="Heading2"/>
        <w:rPr>
          <w:rFonts w:ascii="IRBadr" w:hAnsi="IRBadr" w:cs="IRBadr"/>
          <w:rtl/>
        </w:rPr>
      </w:pPr>
      <w:bookmarkStart w:id="4" w:name="_Toc427448722"/>
      <w:r w:rsidRPr="00005571">
        <w:rPr>
          <w:rFonts w:ascii="IRBadr" w:hAnsi="IRBadr" w:cs="IRBadr"/>
          <w:rtl/>
        </w:rPr>
        <w:t>استثناء دوم</w:t>
      </w:r>
      <w:bookmarkEnd w:id="4"/>
    </w:p>
    <w:p w:rsidR="00C802E8" w:rsidRPr="00005571" w:rsidRDefault="00C802E8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>استثناء دومی که در این زمینه وجود دارد،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A0317A" w:rsidRPr="00005571" w:rsidRDefault="00A74ED3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در حدود نیاز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حاکم است. لذا هیچ مکلفی فی حد نفسه حق ندارد تشخیص موضوع بدهد و بعد بگوید اینجا مصداق حد است </w:t>
      </w:r>
      <w:r w:rsidR="00A0317A" w:rsidRPr="00005571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من حد جاری می‌کنم. حد جزء امور حکومتی است و در حوزه اختیارات حکومت و قاضی </w:t>
      </w:r>
      <w:r w:rsidR="00A0317A" w:rsidRPr="00005571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. این هم یک قاعده کلی است. این قاعده </w:t>
      </w:r>
      <w:r w:rsidR="00A0317A" w:rsidRPr="00005571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در اینجا تخصیص خورده است. </w:t>
      </w:r>
      <w:r w:rsidR="00A0317A" w:rsidRPr="00005571">
        <w:rPr>
          <w:rFonts w:ascii="IRBadr" w:hAnsi="IRBadr" w:cs="IRBadr"/>
          <w:sz w:val="28"/>
          <w:szCs w:val="28"/>
          <w:rtl/>
          <w:lang w:bidi="fa-IR"/>
        </w:rPr>
        <w:t>چراکه در اینجا کسی که این س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ب و دشنام را بشنود بدون نیاز به مراجعه به حاکم و اثبات عند الحاکم و اصدار الحکم من ا</w:t>
      </w:r>
      <w:r w:rsidR="00A0317A" w:rsidRPr="00005571">
        <w:rPr>
          <w:rFonts w:ascii="IRBadr" w:hAnsi="IRBadr" w:cs="IRBadr"/>
          <w:sz w:val="28"/>
          <w:szCs w:val="28"/>
          <w:rtl/>
          <w:lang w:bidi="fa-IR"/>
        </w:rPr>
        <w:t xml:space="preserve">لحاکم می‌تواند خودش حد را جاری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کند.</w:t>
      </w:r>
    </w:p>
    <w:p w:rsidR="00A0317A" w:rsidRPr="00005571" w:rsidRDefault="007E7129" w:rsidP="00562192">
      <w:pPr>
        <w:pStyle w:val="Heading2"/>
        <w:rPr>
          <w:rFonts w:ascii="IRBadr" w:hAnsi="IRBadr" w:cs="IRBadr"/>
          <w:rtl/>
        </w:rPr>
      </w:pPr>
      <w:bookmarkStart w:id="5" w:name="_Toc427448723"/>
      <w:r w:rsidRPr="00005571">
        <w:rPr>
          <w:rFonts w:ascii="IRBadr" w:hAnsi="IRBadr" w:cs="IRBadr"/>
          <w:rtl/>
        </w:rPr>
        <w:t>جمع‌بندی</w:t>
      </w:r>
      <w:bookmarkEnd w:id="5"/>
    </w:p>
    <w:p w:rsidR="00A0317A" w:rsidRPr="00005571" w:rsidRDefault="00A0317A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>پس حکم س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>ب النبی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(ص)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قتل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بوده و از دو جهت خاص است.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یکی اینکه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سب در اینجا تخصیص خورده است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تعزیر آن 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>مبدل به حد شده است. دوم اینکه قاعده مطلقی که می‌گوید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؛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92BE2" w:rsidRPr="00005571">
        <w:rPr>
          <w:rFonts w:ascii="IRBadr" w:hAnsi="IRBadr" w:cs="IRBadr"/>
          <w:sz w:val="28"/>
          <w:szCs w:val="28"/>
          <w:rtl/>
          <w:lang w:bidi="fa-IR"/>
        </w:rPr>
        <w:t>امر حدود به دست حاکم است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>جزء مسائل حکومتی است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دچار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تخصیص شده است.</w:t>
      </w:r>
    </w:p>
    <w:p w:rsidR="00A0317A" w:rsidRPr="00005571" w:rsidRDefault="005C3AF3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نکته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قابل‌توجهی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که در اینجا وجود دارد،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بوده که،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در نزد امامیه حکم قتل بوده و در نزد عامه حکم،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همچنان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همان تعزیر است.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در میان خاصه در اصل این حکم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اختلاف‌نظری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نبوده،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در فروعات نقاط تفاوتی به چشم 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0317A" w:rsidRPr="00005571" w:rsidRDefault="005C3AF3" w:rsidP="00562192">
      <w:pPr>
        <w:pStyle w:val="Heading2"/>
        <w:rPr>
          <w:rFonts w:ascii="IRBadr" w:hAnsi="IRBadr" w:cs="IRBadr"/>
          <w:rtl/>
        </w:rPr>
      </w:pPr>
      <w:bookmarkStart w:id="6" w:name="_Toc427448724"/>
      <w:r w:rsidRPr="00005571">
        <w:rPr>
          <w:rFonts w:ascii="IRBadr" w:hAnsi="IRBadr" w:cs="IRBadr"/>
          <w:rtl/>
        </w:rPr>
        <w:t>رابطه سب و ارتداد</w:t>
      </w:r>
      <w:bookmarkEnd w:id="6"/>
    </w:p>
    <w:p w:rsidR="005C3AF3" w:rsidRPr="00005571" w:rsidRDefault="005C3AF3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>س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ب با ارتداد ملازم نیست.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لذا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این دو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باهم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فرق دارد و البته در خیلی از موارد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ممکن است ملازم باش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ن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د.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چراکه در عین سب نمودن ممکن است همچنان به همان اصل اعتقادی اعتقاد داشته باشد.</w:t>
      </w:r>
    </w:p>
    <w:p w:rsidR="005C3AF3" w:rsidRPr="00005571" w:rsidRDefault="005C3AF3" w:rsidP="00562192">
      <w:pPr>
        <w:pStyle w:val="Heading2"/>
        <w:rPr>
          <w:rFonts w:ascii="IRBadr" w:hAnsi="IRBadr" w:cs="IRBadr"/>
          <w:rtl/>
        </w:rPr>
      </w:pPr>
      <w:bookmarkStart w:id="7" w:name="_Toc427448725"/>
      <w:r w:rsidRPr="00005571">
        <w:rPr>
          <w:rFonts w:ascii="IRBadr" w:hAnsi="IRBadr" w:cs="IRBadr"/>
          <w:rtl/>
        </w:rPr>
        <w:lastRenderedPageBreak/>
        <w:t>مستندات بحث</w:t>
      </w:r>
      <w:bookmarkEnd w:id="7"/>
    </w:p>
    <w:p w:rsidR="00441C8E" w:rsidRPr="00005571" w:rsidRDefault="005C3AF3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در این برهه لازم است به </w:t>
      </w:r>
      <w:r w:rsidR="00441C8E" w:rsidRPr="00005571">
        <w:rPr>
          <w:rFonts w:ascii="IRBadr" w:hAnsi="IRBadr" w:cs="IRBadr"/>
          <w:sz w:val="28"/>
          <w:szCs w:val="28"/>
          <w:rtl/>
          <w:lang w:bidi="fa-IR"/>
        </w:rPr>
        <w:t>مستندات بحث پرداخت،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="00441C8E" w:rsidRPr="00005571">
        <w:rPr>
          <w:rFonts w:ascii="IRBadr" w:hAnsi="IRBadr" w:cs="IRBadr"/>
          <w:sz w:val="28"/>
          <w:szCs w:val="28"/>
          <w:rtl/>
          <w:lang w:bidi="fa-IR"/>
        </w:rPr>
        <w:t xml:space="preserve"> که در 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>همین جلد هیجده</w:t>
      </w:r>
      <w:r w:rsidR="00441C8E"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ابواب حد مرتد، صفحه پانصد و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پنجاه‌وپنج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441C8E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>است.</w:t>
      </w:r>
    </w:p>
    <w:p w:rsidR="00441C8E" w:rsidRPr="00005571" w:rsidRDefault="00441C8E" w:rsidP="00562192">
      <w:pPr>
        <w:pStyle w:val="Heading2"/>
        <w:rPr>
          <w:rFonts w:ascii="IRBadr" w:hAnsi="IRBadr" w:cs="IRBadr"/>
          <w:rtl/>
        </w:rPr>
      </w:pPr>
      <w:bookmarkStart w:id="8" w:name="_Toc427448726"/>
      <w:r w:rsidRPr="00005571">
        <w:rPr>
          <w:rFonts w:ascii="IRBadr" w:hAnsi="IRBadr" w:cs="IRBadr"/>
          <w:rtl/>
        </w:rPr>
        <w:t>روایت اول</w:t>
      </w:r>
      <w:bookmarkEnd w:id="8"/>
    </w:p>
    <w:p w:rsidR="00192BE2" w:rsidRPr="00005571" w:rsidRDefault="00192BE2" w:rsidP="0056219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</w:rPr>
      </w:pP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صح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ح هشام ابن سالم «انه سئل عن من شتم رسول اللّه فقال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قتله الأدن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فالأدن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قبلان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رفع إل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الامام.»</w:t>
      </w:r>
      <w:r w:rsidRPr="0000557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441C8E" w:rsidRPr="00005571" w:rsidRDefault="00441C8E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اما در این روایت فرمودند 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این نوع از دشنام دهنده را هرچه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نزدیک‌تر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قبل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از رجوع به حاکم کشت. سند روایت نیز،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معتبری است.</w:t>
      </w:r>
    </w:p>
    <w:p w:rsidR="00441C8E" w:rsidRPr="00005571" w:rsidRDefault="00441C8E" w:rsidP="00562192">
      <w:pPr>
        <w:pStyle w:val="Heading2"/>
        <w:rPr>
          <w:rFonts w:ascii="IRBadr" w:hAnsi="IRBadr" w:cs="IRBadr"/>
          <w:rtl/>
        </w:rPr>
      </w:pPr>
      <w:bookmarkStart w:id="9" w:name="_Toc427448727"/>
      <w:r w:rsidRPr="00005571">
        <w:rPr>
          <w:rFonts w:ascii="IRBadr" w:hAnsi="IRBadr" w:cs="IRBadr"/>
          <w:rtl/>
        </w:rPr>
        <w:t>روایت دوم</w:t>
      </w:r>
      <w:bookmarkEnd w:id="9"/>
    </w:p>
    <w:p w:rsidR="00441C8E" w:rsidRPr="00005571" w:rsidRDefault="00441C8E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روایت دوم 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>در ابواب حد قذف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جلد هیجده، باب بیست و پنجم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2130AA" w:rsidRPr="00005571" w:rsidRDefault="002130AA" w:rsidP="0056219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عَنِ الْحُسَ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مُحَمَّدٍ عَنْ مُعَلَّ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مُحَمَّدٍ عَنِ الْحَسَنِ بْنِ عَلِ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الْوَشَّاءِ قَالَ سَمِعْتُ أَبَا الْحَسَنِ ع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شَتَمَ رَجُلٌ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عَهْدِ جَعْفَرِ بْنِ مُحَمَّدٍ ع رَسُولَ اللَّهِ ص فَأُتِ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بِهِ إِلَ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عَامِلِ الْمَدِ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نَةِ فَجَمَعَ النَّاسَ فَدَخَلَ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أَبُو عَبْدِ اللَّهِ ع وَ هُوَ قَرِ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بُ الْعَهْدِ بِالْعِلَّةِ وَ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رِدَاءٌ لَهُ فَأَجْلَسَهُ فِ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صَدْرِ الْمَجْلِسِ وَ اسْتَأْذَنَهُ فِ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الِاتِّ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اءِ وَ قَالَ لَهُمْ مَا تَرَوْنَ فَقَالَ لَهُ عَبْدُ اللَّهِ بْنُ الْحَسَنِ وَ الْحَسَنُ بْنُ زَ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وَ غَ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رُهُمَا نَرَ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أَنْ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قْطَعَ لِسَانُهُ فَالْتَفَتَ الْعَامِلُ إِلَ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عَةِ الرَّأْ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أَصْحَابِهِ فَقَالَ مَا تَرَ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ؤَدَّبُ فَقَالَ لَهُ أَبُو عَبْدِ اللَّهِ ع سُبْحَانَ اللَّهِ فَلَ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بَ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رَسُولِ اللَّهِ ص وَ بَ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أَصْحَابِهِ فَرْقٌ.» </w:t>
      </w:r>
      <w:r w:rsidRPr="0000557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2130AA" w:rsidRPr="00005571" w:rsidRDefault="002130AA" w:rsidP="00562192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441C8E" w:rsidRPr="00005571" w:rsidRDefault="00441C8E" w:rsidP="00562192">
      <w:pPr>
        <w:pStyle w:val="Heading2"/>
        <w:rPr>
          <w:rFonts w:ascii="IRBadr" w:hAnsi="IRBadr" w:cs="IRBadr"/>
          <w:rtl/>
        </w:rPr>
      </w:pPr>
      <w:bookmarkStart w:id="10" w:name="_Toc427448728"/>
      <w:r w:rsidRPr="00005571">
        <w:rPr>
          <w:rFonts w:ascii="IRBadr" w:hAnsi="IRBadr" w:cs="IRBadr"/>
          <w:rtl/>
        </w:rPr>
        <w:t>بررسی روایت</w:t>
      </w:r>
      <w:bookmarkEnd w:id="10"/>
    </w:p>
    <w:p w:rsidR="00441C8E" w:rsidRPr="00005571" w:rsidRDefault="00441C8E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>سند این روایت سند تامی نیست،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05571">
        <w:rPr>
          <w:rFonts w:ascii="IRBadr" w:hAnsi="IRBadr" w:cs="IRBadr"/>
          <w:sz w:val="28"/>
          <w:szCs w:val="28"/>
          <w:rtl/>
          <w:lang w:bidi="fa-IR"/>
        </w:rPr>
        <w:t>معل</w:t>
      </w:r>
      <w:r w:rsidR="00005571">
        <w:rPr>
          <w:rFonts w:ascii="IRBadr" w:hAnsi="IRBadr" w:cs="IRBadr" w:hint="cs"/>
          <w:sz w:val="28"/>
          <w:szCs w:val="28"/>
          <w:rtl/>
          <w:lang w:bidi="fa-IR"/>
        </w:rPr>
        <w:t xml:space="preserve">ی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بن محمد توثیقی ندارد و نسبت به حسن بن علی بشار نیز،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اختلافاتی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441C8E" w:rsidRPr="00005571" w:rsidRDefault="00441C8E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lastRenderedPageBreak/>
        <w:t>متن روایت این است که؛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امام صادق 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(ع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) وارد</w:t>
      </w:r>
      <w:r w:rsidR="00A74ED3" w:rsidRPr="00005571">
        <w:rPr>
          <w:rFonts w:ascii="IRBadr" w:hAnsi="IRBadr" w:cs="IRBadr"/>
          <w:sz w:val="28"/>
          <w:szCs w:val="28"/>
          <w:rtl/>
          <w:lang w:bidi="fa-IR"/>
        </w:rPr>
        <w:t xml:space="preserve"> مجلس حاکم مدینه شد، حضرت مریض بودند در دوره نقاهت به سر می‌برند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حاکم رو کرد به جمعی که در میان 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امام حضور داشت و پرسید؛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فرد پیغمبر خدا را شتم کرده است،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او چیست؟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جواب دادند که زبانش باید قطع شود.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="00B97491" w:rsidRPr="00005571">
        <w:rPr>
          <w:rFonts w:ascii="IRBadr" w:hAnsi="IRBadr" w:cs="IRBadr"/>
          <w:sz w:val="28"/>
          <w:szCs w:val="28"/>
          <w:rtl/>
          <w:lang w:bidi="fa-IR"/>
        </w:rPr>
        <w:t xml:space="preserve"> از علمای عامه قائل شدند باید تعزیر گردد، اما حضرت پس از رد این 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نظریه‌ها</w:t>
      </w:r>
      <w:r w:rsidR="00B97491" w:rsidRPr="00005571">
        <w:rPr>
          <w:rFonts w:ascii="IRBadr" w:hAnsi="IRBadr" w:cs="IRBadr"/>
          <w:sz w:val="28"/>
          <w:szCs w:val="28"/>
          <w:rtl/>
          <w:lang w:bidi="fa-IR"/>
        </w:rPr>
        <w:t xml:space="preserve"> فرمودند او باید کشته شود.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="00B97491" w:rsidRPr="00005571">
        <w:rPr>
          <w:rFonts w:ascii="IRBadr" w:hAnsi="IRBadr" w:cs="IRBadr"/>
          <w:sz w:val="28"/>
          <w:szCs w:val="28"/>
          <w:rtl/>
          <w:lang w:bidi="fa-IR"/>
        </w:rPr>
        <w:t xml:space="preserve"> روایت چنانچه مشاهده شد،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واضح</w:t>
      </w:r>
      <w:r w:rsidR="00B97491" w:rsidRPr="00005571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B97491" w:rsidRPr="00005571">
        <w:rPr>
          <w:rFonts w:ascii="IRBadr" w:hAnsi="IRBadr" w:cs="IRBadr"/>
          <w:sz w:val="28"/>
          <w:szCs w:val="28"/>
          <w:rtl/>
          <w:lang w:bidi="fa-IR"/>
        </w:rPr>
        <w:t xml:space="preserve"> سند آن با خدشه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روبه‌رو</w:t>
      </w:r>
      <w:r w:rsidR="00B97491" w:rsidRPr="00005571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B97491" w:rsidRPr="00005571" w:rsidRDefault="00B97491" w:rsidP="00562192">
      <w:pPr>
        <w:pStyle w:val="Heading2"/>
        <w:rPr>
          <w:rFonts w:ascii="IRBadr" w:hAnsi="IRBadr" w:cs="IRBadr"/>
          <w:rtl/>
        </w:rPr>
      </w:pPr>
      <w:bookmarkStart w:id="11" w:name="_Toc427448729"/>
      <w:r w:rsidRPr="00005571">
        <w:rPr>
          <w:rFonts w:ascii="IRBadr" w:hAnsi="IRBadr" w:cs="IRBadr"/>
          <w:rtl/>
        </w:rPr>
        <w:t>روایت سوم</w:t>
      </w:r>
      <w:bookmarkEnd w:id="11"/>
    </w:p>
    <w:p w:rsidR="002130AA" w:rsidRPr="00005571" w:rsidRDefault="00A74ED3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>دلیل سوم روایت دوم همین باب است که</w:t>
      </w:r>
      <w:r w:rsidR="00B97491" w:rsidRPr="00005571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2130AA" w:rsidRPr="00005571" w:rsidRDefault="002130AA" w:rsidP="00562192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وَ عَنْ عِدَّةٍ مِنْ أَصْحَابِنَا عَنْ سَهْلِ بْنِ زِ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ادٍ عَنْ عَلِ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أَسْبَاطٍ عَنْ عَلِ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جَعْفَرٍ قَالَ: أَخْبَرَنِ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أَخِ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مُوسَ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قَالَ-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نْتُ وَاقِفاً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رَأْسِ أَبِ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حِ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أَتَاهُ رَسُولُ زِ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ادِ بْنِ عُبَ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 اللَّهِ الْحَارِثِ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عَامِلِ الْمَدِ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نَةِ فَقَالَ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الْأَمِ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رُ- انْهَضْ إِلَ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فَاعْتَلَّ بِعِلَّةٍ فَعَادَ إِلَ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الرَّسُولُ- فَقَالَ قَدْ أَمَرْتُ أَنْ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فْتَحَ 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بَابُ الْمَقْصُورَةِ- فَهُوَ أَقْرَبُ لِخَطْوِ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قَالَ فَنَهَضَ أَبِ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اعْتَمَدَ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دَخَلَ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الْوَالِ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وَ قَدْ جَمَعَ فُقَهَاءَ أَهْلِ الْمَدِ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نَةِ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لَّهُمْ- وَ بَ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تَابٌ- فِ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شَهَادَةٌ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مِنْ أَهْلِ وَادِ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الْقُرَ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قَدْ ذَ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النَّبِ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فَنَالَ مِنْهُ فَقَالَ لَهُ الْوَالِ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أَبَا عَبْدِ اللَّهِ انْظُرْ فِ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تَابِ- قَالَ حَتَّ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أَنْظُرَ مَا قَالُوا فَالْتَفَتَ إِلَ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هِمْ- فَقَالَ مَا قُلْتُمْ قَالُوا قُلْنَا-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ؤَدَّبُ وَ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ضْرَبُ وَ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عَزَّرُ وَ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حْبَسُ- قَالَ فَقَالَ لَهُمْ أَ رَأَ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تُمْ لَوْ ذَ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رَجُلًا مِنْ أَصْحَابِ النَّبِ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ص- مَا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الْحُ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فِ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قَالُوا مِثْلَ هَذَا- قَالَ فَلَ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بَ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النَّبِ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وَ بَ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رَجُلٍ مِنْ أَصْحَابِهِ فَرْقٌ- فَقَالَ الْوَالِ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دَعْ هَؤُلَاءِ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أَبَا عَبْدِ اللَّهِ- لَوْ أَرَدْنَا هَؤُلَاءِ لَمْ نُرْسِلْ إِلَ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فَقَالَ أَبُو عَبْدِ اللَّهِ ع أَخْبَرَنِ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أَنَّ رَسُولَ اللَّهِ ص- قَالَ النَّاسُ فِ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أُسْوَةٌ سَوَاءٌ مَنْ سَمِعَ أَحَداً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ذْ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رُنِ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ی»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</w:rPr>
        <w:t>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00557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B97491" w:rsidRPr="00005571" w:rsidRDefault="008C7626" w:rsidP="00562192">
      <w:pPr>
        <w:pStyle w:val="Heading2"/>
        <w:rPr>
          <w:rFonts w:ascii="IRBadr" w:hAnsi="IRBadr" w:cs="IRBadr"/>
          <w:rtl/>
        </w:rPr>
      </w:pPr>
      <w:bookmarkStart w:id="12" w:name="_Toc427448730"/>
      <w:r w:rsidRPr="00005571">
        <w:rPr>
          <w:rFonts w:ascii="IRBadr" w:hAnsi="IRBadr" w:cs="IRBadr"/>
          <w:rtl/>
        </w:rPr>
        <w:t>بررسی روایت</w:t>
      </w:r>
      <w:bookmarkEnd w:id="12"/>
    </w:p>
    <w:p w:rsidR="008C7626" w:rsidRPr="00005571" w:rsidRDefault="008C7626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در این روایت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سندی مانع وجود دارد،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علت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اشکال نیز به سهل بن زیاد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کلام شیخ در موردی از او تعبیر به ثقه و در موردی تعبیر به ضعیف شده است،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برخی نیز به خاطر روایات زیاد سهل او را مورد اعتماد 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دانسته‌اند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>،</w:t>
      </w:r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7129" w:rsidRPr="00005571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در سند روایت مشکل وجود دارد.</w:t>
      </w:r>
    </w:p>
    <w:p w:rsidR="008C7626" w:rsidRPr="00005571" w:rsidRDefault="008C7626" w:rsidP="00562192">
      <w:pPr>
        <w:pStyle w:val="Heading2"/>
        <w:rPr>
          <w:rFonts w:ascii="IRBadr" w:hAnsi="IRBadr" w:cs="IRBadr"/>
          <w:rtl/>
        </w:rPr>
      </w:pPr>
      <w:bookmarkStart w:id="13" w:name="_Toc427448731"/>
      <w:r w:rsidRPr="00005571">
        <w:rPr>
          <w:rFonts w:ascii="IRBadr" w:hAnsi="IRBadr" w:cs="IRBadr"/>
          <w:rtl/>
        </w:rPr>
        <w:lastRenderedPageBreak/>
        <w:t>روایت چهارم</w:t>
      </w:r>
      <w:bookmarkEnd w:id="13"/>
    </w:p>
    <w:p w:rsidR="002130AA" w:rsidRPr="00005571" w:rsidRDefault="002130AA" w:rsidP="0056219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حَمَّادِ بْنِ عِ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رِبْعِ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مُسْلِمٍ عَنْ أَبِ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إِنَّ رَجُلًا مِنْ هُذَ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لٍ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سُبُّ رَسُولَ اللَّهِ ص فَبَلَغَ ذَلِ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النَّبِ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فَقَالَ مَنْ لِهَذَا فَقَامَ رَجُلَانِ مِنَ الْأَنْصَارِ فَقَالا نَحْنُ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رَسُولَ اللَّهِ فَانْطَلَقَا حَتَّ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أَتَ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 عَرَبَةَ فَسَأَلَا عَنْهُ فَإِذَا هُوَ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تَلَقَّ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غَنَمَهُ فَلَحِقَاهُ بَ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أَهْلِهِ وَ غَنَمِهِ فَلَمْ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سَلِّمَا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فَقَالَ مَنْ أَنْتُمَا وَ مَا اسْمُ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 فَقَالا لَهُ أَنْتَ فُلَانُ بْنُ فُلَانٍ فَقَالَ نَعَمْ فَنَزَلَا وَ ضَرَبَا عُنُقَهُ قَالَ مُحَمَّدُ بْنُ مُسْلِمٍ فَقُلْتُ لِأَبِ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أَ رَأَ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 لَوْ أَنَّ رَجُلًا الْآنَ سَبَّ النَّبِ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أَ 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قْتَلُ قَالَ إِنْ لَمْ تَخَفْ عَلَ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نَفْسِ</w:t>
      </w:r>
      <w:r w:rsidR="00B35484"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0557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فَاقْتُلْهُ.»</w:t>
      </w:r>
      <w:r w:rsidRPr="0000557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8C7626" w:rsidRPr="00005571" w:rsidRDefault="008C7626" w:rsidP="005621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این روایت به نظر </w:t>
      </w:r>
      <w:bookmarkStart w:id="14" w:name="_GoBack"/>
      <w:bookmarkEnd w:id="14"/>
      <w:r w:rsidR="00B35484" w:rsidRPr="00005571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005571">
        <w:rPr>
          <w:rFonts w:ascii="IRBadr" w:hAnsi="IRBadr" w:cs="IRBadr"/>
          <w:sz w:val="28"/>
          <w:szCs w:val="28"/>
          <w:rtl/>
          <w:lang w:bidi="fa-IR"/>
        </w:rPr>
        <w:t xml:space="preserve"> که روایتی معتبر است.</w:t>
      </w:r>
    </w:p>
    <w:p w:rsidR="00152670" w:rsidRPr="00005571" w:rsidRDefault="00152670" w:rsidP="00562192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005571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CCB" w:rsidRDefault="00406CCB" w:rsidP="000D5800">
      <w:pPr>
        <w:spacing w:after="0" w:line="240" w:lineRule="auto"/>
      </w:pPr>
      <w:r>
        <w:separator/>
      </w:r>
    </w:p>
  </w:endnote>
  <w:endnote w:type="continuationSeparator" w:id="0">
    <w:p w:rsidR="00406CCB" w:rsidRDefault="00406CC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84" w:rsidRDefault="00B354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7814478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2192" w:rsidRDefault="005621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571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B35484" w:rsidRDefault="00B354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84" w:rsidRDefault="00B354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CCB" w:rsidRDefault="00406CCB" w:rsidP="00562192">
      <w:pPr>
        <w:bidi/>
        <w:spacing w:after="0" w:line="240" w:lineRule="auto"/>
      </w:pPr>
      <w:r>
        <w:separator/>
      </w:r>
    </w:p>
  </w:footnote>
  <w:footnote w:type="continuationSeparator" w:id="0">
    <w:p w:rsidR="00406CCB" w:rsidRDefault="00406CCB" w:rsidP="000D5800">
      <w:pPr>
        <w:spacing w:after="0" w:line="240" w:lineRule="auto"/>
      </w:pPr>
      <w:r>
        <w:continuationSeparator/>
      </w:r>
    </w:p>
  </w:footnote>
  <w:footnote w:id="1">
    <w:p w:rsidR="00192BE2" w:rsidRDefault="00192BE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92BE2">
        <w:rPr>
          <w:rFonts w:ascii="Noor_Titr" w:hAnsi="Noor_Titr" w:cs="B Badr" w:hint="cs"/>
          <w:color w:val="000000" w:themeColor="text1"/>
          <w:rtl/>
        </w:rPr>
        <w:t>تحر</w:t>
      </w:r>
      <w:r w:rsidR="00B35484">
        <w:rPr>
          <w:rFonts w:ascii="Noor_Titr" w:hAnsi="Noor_Titr" w:cs="B Badr" w:hint="cs"/>
          <w:color w:val="000000" w:themeColor="text1"/>
          <w:rtl/>
        </w:rPr>
        <w:t>ی</w:t>
      </w:r>
      <w:r w:rsidRPr="00192BE2">
        <w:rPr>
          <w:rFonts w:ascii="Noor_Titr" w:hAnsi="Noor_Titr" w:cs="B Badr" w:hint="cs"/>
          <w:color w:val="000000" w:themeColor="text1"/>
          <w:rtl/>
        </w:rPr>
        <w:t>ر الوس</w:t>
      </w:r>
      <w:r w:rsidR="00B35484">
        <w:rPr>
          <w:rFonts w:ascii="Noor_Titr" w:hAnsi="Noor_Titr" w:cs="B Badr" w:hint="cs"/>
          <w:color w:val="000000" w:themeColor="text1"/>
          <w:rtl/>
        </w:rPr>
        <w:t>ی</w:t>
      </w:r>
      <w:r w:rsidRPr="00192BE2">
        <w:rPr>
          <w:rFonts w:ascii="Noor_Titr" w:hAnsi="Noor_Titr" w:cs="B Badr" w:hint="cs"/>
          <w:color w:val="000000" w:themeColor="text1"/>
          <w:rtl/>
        </w:rPr>
        <w:t xml:space="preserve">لة؛ </w:t>
      </w:r>
      <w:r w:rsidR="00B35484">
        <w:rPr>
          <w:rFonts w:ascii="Noor_Titr" w:hAnsi="Noor_Titr" w:cs="B Badr"/>
          <w:color w:val="000000" w:themeColor="text1"/>
          <w:rtl/>
        </w:rPr>
        <w:t>ج 2</w:t>
      </w:r>
      <w:r w:rsidRPr="00192BE2">
        <w:rPr>
          <w:rFonts w:ascii="Noor_Titr" w:hAnsi="Noor_Titr" w:cs="B Badr" w:hint="cs"/>
          <w:color w:val="000000" w:themeColor="text1"/>
          <w:rtl/>
        </w:rPr>
        <w:t>، ص: 476</w:t>
      </w:r>
    </w:p>
  </w:footnote>
  <w:footnote w:id="2">
    <w:p w:rsidR="00192BE2" w:rsidRDefault="00192BE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92BE2">
        <w:rPr>
          <w:rFonts w:ascii="Noor_Lotus" w:hAnsi="Noor_Lotus" w:cs="B Badr" w:hint="cs"/>
          <w:color w:val="000000" w:themeColor="text1"/>
          <w:rtl/>
        </w:rPr>
        <w:t>وسائل الش</w:t>
      </w:r>
      <w:r w:rsidR="00B35484">
        <w:rPr>
          <w:rFonts w:ascii="Noor_Lotus" w:hAnsi="Noor_Lotus" w:cs="B Badr" w:hint="cs"/>
          <w:color w:val="000000" w:themeColor="text1"/>
          <w:rtl/>
        </w:rPr>
        <w:t>ی</w:t>
      </w:r>
      <w:r w:rsidRPr="00192BE2">
        <w:rPr>
          <w:rFonts w:ascii="Noor_Lotus" w:hAnsi="Noor_Lotus" w:cs="B Badr" w:hint="cs"/>
          <w:color w:val="000000" w:themeColor="text1"/>
          <w:rtl/>
        </w:rPr>
        <w:t>عه، ج 28، باب 7 از ابواب مرتد، حد</w:t>
      </w:r>
      <w:r w:rsidR="00B35484">
        <w:rPr>
          <w:rFonts w:ascii="Noor_Lotus" w:hAnsi="Noor_Lotus" w:cs="B Badr" w:hint="cs"/>
          <w:color w:val="000000" w:themeColor="text1"/>
          <w:rtl/>
        </w:rPr>
        <w:t>ی</w:t>
      </w:r>
      <w:r w:rsidRPr="00192BE2">
        <w:rPr>
          <w:rFonts w:ascii="Noor_Lotus" w:hAnsi="Noor_Lotus" w:cs="B Badr" w:hint="cs"/>
          <w:color w:val="000000" w:themeColor="text1"/>
          <w:rtl/>
        </w:rPr>
        <w:t>ث 1.</w:t>
      </w:r>
    </w:p>
  </w:footnote>
  <w:footnote w:id="3">
    <w:p w:rsidR="002130AA" w:rsidRDefault="002130A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130AA">
        <w:rPr>
          <w:rFonts w:ascii="Noor_Titr" w:hAnsi="Noor_Titr" w:cs="B Badr" w:hint="cs"/>
          <w:color w:val="000000" w:themeColor="text1"/>
          <w:rtl/>
        </w:rPr>
        <w:t>تهذ</w:t>
      </w:r>
      <w:r w:rsidR="00B35484">
        <w:rPr>
          <w:rFonts w:ascii="Noor_Titr" w:hAnsi="Noor_Titr" w:cs="B Badr" w:hint="cs"/>
          <w:color w:val="000000" w:themeColor="text1"/>
          <w:rtl/>
        </w:rPr>
        <w:t>ی</w:t>
      </w:r>
      <w:r w:rsidRPr="002130AA">
        <w:rPr>
          <w:rFonts w:ascii="Noor_Titr" w:hAnsi="Noor_Titr" w:cs="B Badr" w:hint="cs"/>
          <w:color w:val="000000" w:themeColor="text1"/>
          <w:rtl/>
        </w:rPr>
        <w:t>ب الأح</w:t>
      </w:r>
      <w:r w:rsidR="00B35484">
        <w:rPr>
          <w:rFonts w:ascii="Noor_Titr" w:hAnsi="Noor_Titr" w:cs="B Badr" w:hint="cs"/>
          <w:color w:val="000000" w:themeColor="text1"/>
          <w:rtl/>
        </w:rPr>
        <w:t>ک</w:t>
      </w:r>
      <w:r w:rsidRPr="002130AA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B35484">
        <w:rPr>
          <w:rFonts w:ascii="Noor_Titr" w:hAnsi="Noor_Titr" w:cs="B Badr"/>
          <w:color w:val="000000" w:themeColor="text1"/>
          <w:rtl/>
        </w:rPr>
        <w:t>ج 10</w:t>
      </w:r>
      <w:r w:rsidRPr="002130AA">
        <w:rPr>
          <w:rFonts w:ascii="Noor_Titr" w:hAnsi="Noor_Titr" w:cs="B Badr" w:hint="cs"/>
          <w:color w:val="000000" w:themeColor="text1"/>
          <w:rtl/>
        </w:rPr>
        <w:t>، ص: 85</w:t>
      </w:r>
    </w:p>
  </w:footnote>
  <w:footnote w:id="4">
    <w:p w:rsidR="002130AA" w:rsidRDefault="002130A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130AA">
        <w:rPr>
          <w:rFonts w:ascii="Noor_Titr" w:hAnsi="Noor_Titr" w:cs="B Badr" w:hint="cs"/>
          <w:color w:val="000000" w:themeColor="text1"/>
          <w:rtl/>
        </w:rPr>
        <w:t>وسائل الش</w:t>
      </w:r>
      <w:r w:rsidR="00B35484">
        <w:rPr>
          <w:rFonts w:ascii="Noor_Titr" w:hAnsi="Noor_Titr" w:cs="B Badr" w:hint="cs"/>
          <w:color w:val="000000" w:themeColor="text1"/>
          <w:rtl/>
        </w:rPr>
        <w:t>ی</w:t>
      </w:r>
      <w:r w:rsidRPr="002130AA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B35484">
        <w:rPr>
          <w:rFonts w:ascii="Noor_Titr" w:hAnsi="Noor_Titr" w:cs="B Badr"/>
          <w:color w:val="000000" w:themeColor="text1"/>
          <w:rtl/>
        </w:rPr>
        <w:t>ج 28</w:t>
      </w:r>
      <w:r w:rsidRPr="002130AA">
        <w:rPr>
          <w:rFonts w:ascii="Noor_Titr" w:hAnsi="Noor_Titr" w:cs="B Badr" w:hint="cs"/>
          <w:color w:val="000000" w:themeColor="text1"/>
          <w:rtl/>
        </w:rPr>
        <w:t>، ص: 212</w:t>
      </w:r>
    </w:p>
  </w:footnote>
  <w:footnote w:id="5">
    <w:p w:rsidR="002130AA" w:rsidRDefault="002130A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130AA">
        <w:rPr>
          <w:rFonts w:ascii="Noor_Titr" w:hAnsi="Noor_Titr" w:cs="B Badr" w:hint="cs"/>
          <w:color w:val="000000" w:themeColor="text1"/>
          <w:rtl/>
        </w:rPr>
        <w:t>ال</w:t>
      </w:r>
      <w:r w:rsidR="00B35484">
        <w:rPr>
          <w:rFonts w:ascii="Noor_Titr" w:hAnsi="Noor_Titr" w:cs="B Badr" w:hint="cs"/>
          <w:color w:val="000000" w:themeColor="text1"/>
          <w:rtl/>
        </w:rPr>
        <w:t>ک</w:t>
      </w:r>
      <w:r w:rsidRPr="002130AA">
        <w:rPr>
          <w:rFonts w:ascii="Noor_Titr" w:hAnsi="Noor_Titr" w:cs="B Badr" w:hint="cs"/>
          <w:color w:val="000000" w:themeColor="text1"/>
          <w:rtl/>
        </w:rPr>
        <w:t>اف</w:t>
      </w:r>
      <w:r w:rsidR="00B35484">
        <w:rPr>
          <w:rFonts w:ascii="Noor_Titr" w:hAnsi="Noor_Titr" w:cs="B Badr" w:hint="cs"/>
          <w:color w:val="000000" w:themeColor="text1"/>
          <w:rtl/>
        </w:rPr>
        <w:t>ی</w:t>
      </w:r>
      <w:r w:rsidRPr="002130AA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B35484">
        <w:rPr>
          <w:rFonts w:ascii="Noor_Titr" w:hAnsi="Noor_Titr" w:cs="B Badr" w:hint="cs"/>
          <w:color w:val="000000" w:themeColor="text1"/>
          <w:rtl/>
        </w:rPr>
        <w:t>ی</w:t>
      </w:r>
      <w:r w:rsidRPr="002130AA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B35484">
        <w:rPr>
          <w:rFonts w:ascii="Noor_Titr" w:hAnsi="Noor_Titr" w:cs="B Badr"/>
          <w:color w:val="000000" w:themeColor="text1"/>
          <w:rtl/>
        </w:rPr>
        <w:t>ج 7</w:t>
      </w:r>
      <w:r w:rsidRPr="002130AA">
        <w:rPr>
          <w:rFonts w:ascii="Noor_Titr" w:hAnsi="Noor_Titr" w:cs="B Badr" w:hint="cs"/>
          <w:color w:val="000000" w:themeColor="text1"/>
          <w:rtl/>
        </w:rPr>
        <w:t>، ص: 267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84" w:rsidRDefault="00B354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A74ED3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43724E4" wp14:editId="028F369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2EF37B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4B2D1631" wp14:editId="1BB9348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B35484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74ED3">
      <w:rPr>
        <w:rFonts w:ascii="IranNastaliq" w:hAnsi="IranNastaliq" w:cs="IranNastaliq" w:hint="cs"/>
        <w:sz w:val="40"/>
        <w:szCs w:val="40"/>
        <w:rtl/>
      </w:rPr>
      <w:t>814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84" w:rsidRDefault="00B354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D3"/>
    <w:rsid w:val="00005571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1700"/>
    <w:rsid w:val="00166DD8"/>
    <w:rsid w:val="001712D6"/>
    <w:rsid w:val="001757C8"/>
    <w:rsid w:val="00177934"/>
    <w:rsid w:val="00192A6A"/>
    <w:rsid w:val="00192BE2"/>
    <w:rsid w:val="00197CDD"/>
    <w:rsid w:val="001C367D"/>
    <w:rsid w:val="001D24F8"/>
    <w:rsid w:val="001D542D"/>
    <w:rsid w:val="001E306E"/>
    <w:rsid w:val="001E3FB0"/>
    <w:rsid w:val="001E4FFF"/>
    <w:rsid w:val="001F2E3E"/>
    <w:rsid w:val="002130AA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5134"/>
    <w:rsid w:val="002E73F9"/>
    <w:rsid w:val="002F05B9"/>
    <w:rsid w:val="00340BA3"/>
    <w:rsid w:val="00366400"/>
    <w:rsid w:val="0037226F"/>
    <w:rsid w:val="003963D7"/>
    <w:rsid w:val="00396F28"/>
    <w:rsid w:val="003A1A05"/>
    <w:rsid w:val="003A2654"/>
    <w:rsid w:val="003B1576"/>
    <w:rsid w:val="003C06BF"/>
    <w:rsid w:val="003C7899"/>
    <w:rsid w:val="003D2F0A"/>
    <w:rsid w:val="003D563F"/>
    <w:rsid w:val="003E1E58"/>
    <w:rsid w:val="00405199"/>
    <w:rsid w:val="00406CCB"/>
    <w:rsid w:val="00410699"/>
    <w:rsid w:val="00415360"/>
    <w:rsid w:val="00424F52"/>
    <w:rsid w:val="00441C8E"/>
    <w:rsid w:val="0044591E"/>
    <w:rsid w:val="004651D2"/>
    <w:rsid w:val="00465D26"/>
    <w:rsid w:val="004679F8"/>
    <w:rsid w:val="004B337F"/>
    <w:rsid w:val="004F3596"/>
    <w:rsid w:val="00562192"/>
    <w:rsid w:val="00572E2D"/>
    <w:rsid w:val="00592103"/>
    <w:rsid w:val="005941DD"/>
    <w:rsid w:val="005A545E"/>
    <w:rsid w:val="005A5862"/>
    <w:rsid w:val="005B0852"/>
    <w:rsid w:val="005C06AE"/>
    <w:rsid w:val="005C3AF3"/>
    <w:rsid w:val="00610C18"/>
    <w:rsid w:val="00612385"/>
    <w:rsid w:val="0061376C"/>
    <w:rsid w:val="00623A16"/>
    <w:rsid w:val="006339D4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D4348"/>
    <w:rsid w:val="007E03E9"/>
    <w:rsid w:val="007E04EE"/>
    <w:rsid w:val="007E7129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2641"/>
    <w:rsid w:val="008644F4"/>
    <w:rsid w:val="00883733"/>
    <w:rsid w:val="008965D2"/>
    <w:rsid w:val="008A236D"/>
    <w:rsid w:val="008B565A"/>
    <w:rsid w:val="008C3414"/>
    <w:rsid w:val="008C7626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5860"/>
    <w:rsid w:val="009B61C3"/>
    <w:rsid w:val="009C7B4F"/>
    <w:rsid w:val="009E3209"/>
    <w:rsid w:val="009F4EB3"/>
    <w:rsid w:val="00A0317A"/>
    <w:rsid w:val="00A06D48"/>
    <w:rsid w:val="00A21834"/>
    <w:rsid w:val="00A27888"/>
    <w:rsid w:val="00A31C17"/>
    <w:rsid w:val="00A31FDE"/>
    <w:rsid w:val="00A35AC2"/>
    <w:rsid w:val="00A37C77"/>
    <w:rsid w:val="00A5418D"/>
    <w:rsid w:val="00A725C2"/>
    <w:rsid w:val="00A74ED3"/>
    <w:rsid w:val="00A769EE"/>
    <w:rsid w:val="00A810A5"/>
    <w:rsid w:val="00A9616A"/>
    <w:rsid w:val="00A96F68"/>
    <w:rsid w:val="00AA2342"/>
    <w:rsid w:val="00AC3ACE"/>
    <w:rsid w:val="00AD0304"/>
    <w:rsid w:val="00AD27BE"/>
    <w:rsid w:val="00AF0F1A"/>
    <w:rsid w:val="00AF564A"/>
    <w:rsid w:val="00B15027"/>
    <w:rsid w:val="00B21CF4"/>
    <w:rsid w:val="00B24300"/>
    <w:rsid w:val="00B35484"/>
    <w:rsid w:val="00B45503"/>
    <w:rsid w:val="00B63F15"/>
    <w:rsid w:val="00B97491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02E8"/>
    <w:rsid w:val="00C84FC0"/>
    <w:rsid w:val="00C9244A"/>
    <w:rsid w:val="00CB5DA3"/>
    <w:rsid w:val="00CE31E6"/>
    <w:rsid w:val="00CE3B74"/>
    <w:rsid w:val="00CF42E2"/>
    <w:rsid w:val="00CF7916"/>
    <w:rsid w:val="00D158F3"/>
    <w:rsid w:val="00D35DFE"/>
    <w:rsid w:val="00D3665C"/>
    <w:rsid w:val="00D508CC"/>
    <w:rsid w:val="00D50F4B"/>
    <w:rsid w:val="00D546F7"/>
    <w:rsid w:val="00D60547"/>
    <w:rsid w:val="00D63EE4"/>
    <w:rsid w:val="00D66444"/>
    <w:rsid w:val="00D76353"/>
    <w:rsid w:val="00D870BC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D3196"/>
    <w:rsid w:val="00EE1C07"/>
    <w:rsid w:val="00EE2C91"/>
    <w:rsid w:val="00EE3979"/>
    <w:rsid w:val="00EF138C"/>
    <w:rsid w:val="00F034CE"/>
    <w:rsid w:val="00F10A0F"/>
    <w:rsid w:val="00F40284"/>
    <w:rsid w:val="00F575D0"/>
    <w:rsid w:val="00F67976"/>
    <w:rsid w:val="00F70BE1"/>
    <w:rsid w:val="00FC0862"/>
    <w:rsid w:val="00FC70FB"/>
    <w:rsid w:val="00FD143D"/>
    <w:rsid w:val="00FE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74ED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2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192B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621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74ED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2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192B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621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1AF08-3B97-492A-B210-53CFA99E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180</TotalTime>
  <Pages>6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33</cp:revision>
  <dcterms:created xsi:type="dcterms:W3CDTF">2014-12-22T04:04:00Z</dcterms:created>
  <dcterms:modified xsi:type="dcterms:W3CDTF">2015-07-27T21:30:00Z</dcterms:modified>
</cp:coreProperties>
</file>